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Col Manish Manrai</w:t>
      </w:r>
    </w:p>
    <w:p/>
    <w:p/>
    <w:p>
      <w:pPr>
        <w:rPr>
          <w:rFonts w:hint="default"/>
          <w:sz w:val="20"/>
          <w:szCs w:val="20"/>
        </w:rPr>
      </w:pPr>
    </w:p>
    <w:p>
      <w:pPr>
        <w:rPr>
          <w:rFonts w:hint="default"/>
          <w:sz w:val="20"/>
          <w:szCs w:val="20"/>
        </w:rPr>
      </w:pPr>
      <w:bookmarkStart w:id="0" w:name="_GoBack"/>
      <w:bookmarkEnd w:id="0"/>
      <w:r>
        <w:rPr>
          <w:rFonts w:hint="default"/>
          <w:sz w:val="20"/>
          <w:szCs w:val="20"/>
        </w:rPr>
        <w:t>APPOINTMENT : Senior Advisor (Medicine) and Gastroenterologist, Command Hospital (CC), Lucknow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QUALIFICATIONS: MBBS, MD (AFMC), DM (Gastroenterology), (PGI, Chandigarh), Short term Fellowship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            (Transplant Hepatology), FICP, FRCP (Edin), FISG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SPECIAL ACHIEVEMENTS :  Science Editor, Indian Journal of Gastroenterology (IJG)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         Executive Committee Member, Gastrointestinal Infection Society of India (GISI)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         Editorial board member, World Journal of Gastrointestinal Endoscopy</w:t>
      </w:r>
      <w:r>
        <w:rPr>
          <w:rFonts w:hint="default"/>
          <w:sz w:val="20"/>
          <w:szCs w:val="20"/>
        </w:rPr>
        <w:tab/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PUBLICATIONS</w:t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:        64 publications (International - 25 , National - 39); 03 Chapters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AWARDS &amp; FELICITATION:  Army Cdr Commendation (EC) - 2007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         Chief of Army Staff Commendation - 2020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         Fellow of Indian College of Physicians (FICP) - 2021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         Fellow of Royal College of Physicians (FRCP) (Edinburgh) - 2022</w:t>
      </w:r>
    </w:p>
    <w:p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ab/>
      </w:r>
      <w:r>
        <w:rPr>
          <w:rFonts w:hint="default"/>
          <w:sz w:val="20"/>
          <w:szCs w:val="20"/>
        </w:rPr>
        <w:t xml:space="preserve">          Fellow of Indian Society of Gastroenterology (FISG) - 2023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2023-08-31T05:09:19Z</dcterms:created>
  <dc:creator>Admin</dc:creator>
  <cp:lastModifiedBy>Dr. Prince Manchanda</cp:lastModifiedBy>
  <dcterms:modified xsi:type="dcterms:W3CDTF">2023-08-31T05:11:11Z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E3C505C06B9D4995973FD5CC8E7F299E_12</vt:lpwstr>
  </property>
</Properties>
</file>